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92D7A" w14:textId="7C59B3DB" w:rsidR="00C526A9" w:rsidRPr="0077699F" w:rsidRDefault="00C526A9" w:rsidP="00C526A9">
      <w:pPr>
        <w:ind w:left="720" w:hanging="360"/>
        <w:jc w:val="center"/>
        <w:rPr>
          <w:b/>
          <w:bCs/>
          <w:sz w:val="44"/>
          <w:szCs w:val="44"/>
          <w:u w:val="single"/>
        </w:rPr>
      </w:pPr>
      <w:r w:rsidRPr="0077699F">
        <w:rPr>
          <w:b/>
          <w:bCs/>
          <w:sz w:val="44"/>
          <w:szCs w:val="44"/>
          <w:u w:val="single"/>
        </w:rPr>
        <w:t>Scope</w:t>
      </w:r>
    </w:p>
    <w:p w14:paraId="35B4BC9A" w14:textId="701B7099" w:rsidR="007064A3" w:rsidRPr="00EE21FE" w:rsidRDefault="00BB7BF2" w:rsidP="00EE21FE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</w:rPr>
      </w:pPr>
      <w:r w:rsidRPr="00EE21FE">
        <w:rPr>
          <w:rFonts w:ascii="Arial" w:hAnsi="Arial" w:cs="Arial"/>
          <w:b/>
          <w:bCs/>
        </w:rPr>
        <w:t>Digital Media Buying:</w:t>
      </w:r>
    </w:p>
    <w:p w14:paraId="0DDBA6AA" w14:textId="5A1B01CC" w:rsidR="00BB7BF2" w:rsidRPr="00947AA0" w:rsidRDefault="00BB7BF2" w:rsidP="00BB7BF2">
      <w:pPr>
        <w:rPr>
          <w:rFonts w:ascii="Arial" w:hAnsi="Arial" w:cs="Arial"/>
        </w:rPr>
      </w:pPr>
      <w:r w:rsidRPr="00947AA0">
        <w:rPr>
          <w:rFonts w:ascii="Arial" w:hAnsi="Arial" w:cs="Arial"/>
        </w:rPr>
        <w:t>Objective</w:t>
      </w:r>
    </w:p>
    <w:p w14:paraId="2764E4DC" w14:textId="0261CA97" w:rsidR="007064A3" w:rsidRPr="00947AA0" w:rsidRDefault="00947AA0" w:rsidP="00BB7BF2">
      <w:pPr>
        <w:rPr>
          <w:rFonts w:ascii="Arial" w:hAnsi="Arial" w:cs="Arial"/>
          <w:sz w:val="22"/>
          <w:szCs w:val="22"/>
        </w:rPr>
      </w:pPr>
      <w:r w:rsidRPr="00947AA0">
        <w:rPr>
          <w:rFonts w:ascii="Arial" w:hAnsi="Arial" w:cs="Arial"/>
          <w:sz w:val="22"/>
          <w:szCs w:val="22"/>
        </w:rPr>
        <w:t>A</w:t>
      </w:r>
      <w:r w:rsidR="00BB7BF2" w:rsidRPr="00947AA0">
        <w:rPr>
          <w:rFonts w:ascii="Arial" w:hAnsi="Arial" w:cs="Arial"/>
          <w:sz w:val="22"/>
          <w:szCs w:val="22"/>
        </w:rPr>
        <w:t xml:space="preserve"> digital buying agency that will plan, execute, monitor, and optimize paid digital media campaigns across platforms to drive business objectives (brand awareness, lead generation, traffic, engagement, etc.).</w:t>
      </w:r>
    </w:p>
    <w:p w14:paraId="520E422E" w14:textId="7CA5A937" w:rsidR="006F02BE" w:rsidRPr="00947AA0" w:rsidRDefault="006F02BE" w:rsidP="006F02BE">
      <w:pPr>
        <w:rPr>
          <w:rFonts w:ascii="Arial" w:hAnsi="Arial" w:cs="Arial"/>
          <w:b/>
          <w:bCs/>
        </w:rPr>
      </w:pPr>
      <w:r w:rsidRPr="00947AA0">
        <w:rPr>
          <w:rFonts w:ascii="Arial" w:hAnsi="Arial" w:cs="Arial"/>
          <w:b/>
          <w:bCs/>
        </w:rPr>
        <w:t>Key Responsibilities of the Agency</w:t>
      </w:r>
      <w:r w:rsidR="00947AA0" w:rsidRPr="00947AA0">
        <w:rPr>
          <w:rFonts w:ascii="Arial" w:hAnsi="Arial" w:cs="Arial"/>
          <w:b/>
          <w:bCs/>
        </w:rPr>
        <w:t>:</w:t>
      </w:r>
    </w:p>
    <w:p w14:paraId="7BD35A93" w14:textId="7646B328" w:rsidR="006F02BE" w:rsidRPr="00947AA0" w:rsidRDefault="006F02BE" w:rsidP="006F02B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47AA0">
        <w:rPr>
          <w:rFonts w:ascii="Arial" w:hAnsi="Arial" w:cs="Arial"/>
        </w:rPr>
        <w:t>Strategy &amp; Planning</w:t>
      </w:r>
    </w:p>
    <w:p w14:paraId="28F78C65" w14:textId="678FAE76" w:rsidR="006F02BE" w:rsidRPr="00947AA0" w:rsidRDefault="006F02BE" w:rsidP="006F02BE">
      <w:pPr>
        <w:rPr>
          <w:rFonts w:ascii="Arial" w:hAnsi="Arial" w:cs="Arial"/>
          <w:sz w:val="22"/>
          <w:szCs w:val="22"/>
        </w:rPr>
      </w:pPr>
      <w:r w:rsidRPr="00947AA0">
        <w:rPr>
          <w:rFonts w:ascii="Arial" w:hAnsi="Arial" w:cs="Arial"/>
          <w:sz w:val="22"/>
          <w:szCs w:val="22"/>
        </w:rPr>
        <w:t>Develop digital media strategies based on brand objectives, audience segments, budget, and timeline. Prepare media plans (monthly/quarterly/annually) across platforms: Meta (Facebook, Instagram), Google (Search, YouTube, GDN), TikTok, LinkedIn, programmatic platforms, etc. Media mix modeling and allocation of budget by</w:t>
      </w:r>
      <w:r w:rsidR="0010104E">
        <w:rPr>
          <w:rFonts w:ascii="Arial" w:hAnsi="Arial" w:cs="Arial"/>
          <w:sz w:val="22"/>
          <w:szCs w:val="22"/>
        </w:rPr>
        <w:t xml:space="preserve"> platforms</w:t>
      </w:r>
      <w:r w:rsidRPr="00947AA0">
        <w:rPr>
          <w:rFonts w:ascii="Arial" w:hAnsi="Arial" w:cs="Arial"/>
          <w:sz w:val="22"/>
          <w:szCs w:val="22"/>
        </w:rPr>
        <w:t xml:space="preserve"> and objective.</w:t>
      </w:r>
    </w:p>
    <w:p w14:paraId="1611F024" w14:textId="08468A04" w:rsidR="006F02BE" w:rsidRDefault="006F02BE" w:rsidP="006F02BE">
      <w:pPr>
        <w:rPr>
          <w:rFonts w:ascii="Arial" w:hAnsi="Arial" w:cs="Arial"/>
          <w:sz w:val="22"/>
          <w:szCs w:val="22"/>
        </w:rPr>
      </w:pPr>
      <w:r w:rsidRPr="00947AA0">
        <w:rPr>
          <w:rFonts w:ascii="Arial" w:hAnsi="Arial" w:cs="Arial"/>
          <w:sz w:val="22"/>
          <w:szCs w:val="22"/>
        </w:rPr>
        <w:t>Set up campaigns across platforms with proper structure (objective, audience, creative, placement, budget, schedule).</w:t>
      </w:r>
    </w:p>
    <w:p w14:paraId="1F5221E9" w14:textId="2CBFD68A" w:rsidR="0010104E" w:rsidRPr="00947AA0" w:rsidRDefault="0010104E" w:rsidP="006F02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Social Listening Service</w:t>
      </w:r>
    </w:p>
    <w:p w14:paraId="49364EB3" w14:textId="69E9A834" w:rsidR="006F02BE" w:rsidRPr="00947AA0" w:rsidRDefault="00947AA0" w:rsidP="006F02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6F02BE" w:rsidRPr="00947AA0">
        <w:rPr>
          <w:rFonts w:ascii="Arial" w:hAnsi="Arial" w:cs="Arial"/>
        </w:rPr>
        <w:t>B. Media Buying</w:t>
      </w:r>
    </w:p>
    <w:p w14:paraId="1F844567" w14:textId="77777777" w:rsidR="006F02BE" w:rsidRPr="00947AA0" w:rsidRDefault="006F02BE" w:rsidP="006F02BE">
      <w:pPr>
        <w:rPr>
          <w:rFonts w:ascii="Arial" w:hAnsi="Arial" w:cs="Arial"/>
          <w:sz w:val="22"/>
          <w:szCs w:val="22"/>
        </w:rPr>
      </w:pPr>
      <w:r w:rsidRPr="00947AA0">
        <w:rPr>
          <w:rFonts w:ascii="Arial" w:hAnsi="Arial" w:cs="Arial"/>
          <w:sz w:val="22"/>
          <w:szCs w:val="22"/>
        </w:rPr>
        <w:t>Execute buying on self-serve platforms (Meta, Google Ads, TikTok, etc.).</w:t>
      </w:r>
    </w:p>
    <w:p w14:paraId="337F0AC8" w14:textId="7C3C235C" w:rsidR="006F02BE" w:rsidRPr="00947AA0" w:rsidRDefault="006F02BE" w:rsidP="006F02BE">
      <w:pPr>
        <w:rPr>
          <w:rFonts w:ascii="Arial" w:hAnsi="Arial" w:cs="Arial"/>
          <w:sz w:val="22"/>
          <w:szCs w:val="22"/>
        </w:rPr>
      </w:pPr>
      <w:r w:rsidRPr="00947AA0">
        <w:rPr>
          <w:rFonts w:ascii="Arial" w:hAnsi="Arial" w:cs="Arial"/>
          <w:sz w:val="22"/>
          <w:szCs w:val="22"/>
        </w:rPr>
        <w:t>Negotiate with platform representatives or third parties for premium inventory.</w:t>
      </w:r>
    </w:p>
    <w:p w14:paraId="7F85D126" w14:textId="77777777" w:rsidR="006F02BE" w:rsidRPr="00947AA0" w:rsidRDefault="006F02BE" w:rsidP="006F02BE">
      <w:pPr>
        <w:rPr>
          <w:rFonts w:ascii="Arial" w:hAnsi="Arial" w:cs="Arial"/>
          <w:sz w:val="22"/>
          <w:szCs w:val="22"/>
        </w:rPr>
      </w:pPr>
      <w:r w:rsidRPr="00947AA0">
        <w:rPr>
          <w:rFonts w:ascii="Arial" w:hAnsi="Arial" w:cs="Arial"/>
          <w:sz w:val="22"/>
          <w:szCs w:val="22"/>
        </w:rPr>
        <w:t>Ensure optimal CPM/CPC/CPV/CPA within industry benchmarks.</w:t>
      </w:r>
    </w:p>
    <w:p w14:paraId="7CE185E3" w14:textId="23919C9E" w:rsidR="006F02BE" w:rsidRPr="00947AA0" w:rsidRDefault="00947AA0" w:rsidP="006F02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6F02BE" w:rsidRPr="00947AA0">
        <w:rPr>
          <w:rFonts w:ascii="Arial" w:hAnsi="Arial" w:cs="Arial"/>
        </w:rPr>
        <w:t>C. Optimization &amp; Reporting</w:t>
      </w:r>
    </w:p>
    <w:p w14:paraId="5F8AE30C" w14:textId="77777777" w:rsidR="006F02BE" w:rsidRPr="00947AA0" w:rsidRDefault="006F02BE" w:rsidP="006F02BE">
      <w:pPr>
        <w:rPr>
          <w:rFonts w:ascii="Arial" w:hAnsi="Arial" w:cs="Arial"/>
          <w:sz w:val="22"/>
          <w:szCs w:val="22"/>
        </w:rPr>
      </w:pPr>
      <w:r w:rsidRPr="00947AA0">
        <w:rPr>
          <w:rFonts w:ascii="Arial" w:hAnsi="Arial" w:cs="Arial"/>
          <w:sz w:val="22"/>
          <w:szCs w:val="22"/>
        </w:rPr>
        <w:t>Monitor campaign performance daily/weekly.</w:t>
      </w:r>
    </w:p>
    <w:p w14:paraId="5BEC1C51" w14:textId="0B7967FB" w:rsidR="006F02BE" w:rsidRPr="00947AA0" w:rsidRDefault="006F02BE" w:rsidP="006F02BE">
      <w:pPr>
        <w:rPr>
          <w:rFonts w:ascii="Arial" w:hAnsi="Arial" w:cs="Arial"/>
          <w:sz w:val="22"/>
          <w:szCs w:val="22"/>
        </w:rPr>
      </w:pPr>
      <w:r w:rsidRPr="00947AA0">
        <w:rPr>
          <w:rFonts w:ascii="Arial" w:hAnsi="Arial" w:cs="Arial"/>
          <w:sz w:val="22"/>
          <w:szCs w:val="22"/>
        </w:rPr>
        <w:t>Recommend and execute optimization actions based on performance.</w:t>
      </w:r>
    </w:p>
    <w:p w14:paraId="0D30C010" w14:textId="77777777" w:rsidR="006F02BE" w:rsidRPr="00947AA0" w:rsidRDefault="006F02BE" w:rsidP="006F02BE">
      <w:pPr>
        <w:rPr>
          <w:rFonts w:ascii="Arial" w:hAnsi="Arial" w:cs="Arial"/>
          <w:sz w:val="22"/>
          <w:szCs w:val="22"/>
        </w:rPr>
      </w:pPr>
      <w:r w:rsidRPr="00947AA0">
        <w:rPr>
          <w:rFonts w:ascii="Arial" w:hAnsi="Arial" w:cs="Arial"/>
          <w:sz w:val="22"/>
          <w:szCs w:val="22"/>
        </w:rPr>
        <w:t>Share real-time dashboards or weekly/monthly performance reports.</w:t>
      </w:r>
    </w:p>
    <w:p w14:paraId="12B135D8" w14:textId="4E3F8DD5" w:rsidR="00BB7BF2" w:rsidRPr="00947AA0" w:rsidRDefault="006F02BE" w:rsidP="00BB7BF2">
      <w:pPr>
        <w:rPr>
          <w:rFonts w:ascii="Arial" w:hAnsi="Arial" w:cs="Arial"/>
          <w:sz w:val="22"/>
          <w:szCs w:val="22"/>
        </w:rPr>
      </w:pPr>
      <w:r w:rsidRPr="00947AA0">
        <w:rPr>
          <w:rFonts w:ascii="Arial" w:hAnsi="Arial" w:cs="Arial"/>
          <w:sz w:val="22"/>
          <w:szCs w:val="22"/>
        </w:rPr>
        <w:t>Provide insights and recommendations for future planning</w:t>
      </w:r>
    </w:p>
    <w:p w14:paraId="58C70463" w14:textId="5FE54CC9" w:rsidR="00947AA0" w:rsidRPr="00947AA0" w:rsidRDefault="00947AA0" w:rsidP="00947AA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947AA0">
        <w:rPr>
          <w:rFonts w:ascii="Arial" w:hAnsi="Arial" w:cs="Arial"/>
        </w:rPr>
        <w:t>D. Compliance &amp; Brand Safety</w:t>
      </w:r>
    </w:p>
    <w:p w14:paraId="2E256A9D" w14:textId="77777777" w:rsidR="00947AA0" w:rsidRPr="00947AA0" w:rsidRDefault="00947AA0" w:rsidP="00947AA0">
      <w:pPr>
        <w:rPr>
          <w:rFonts w:ascii="Arial" w:hAnsi="Arial" w:cs="Arial"/>
          <w:sz w:val="22"/>
          <w:szCs w:val="22"/>
        </w:rPr>
      </w:pPr>
      <w:r w:rsidRPr="00947AA0">
        <w:rPr>
          <w:rFonts w:ascii="Arial" w:hAnsi="Arial" w:cs="Arial"/>
          <w:sz w:val="22"/>
          <w:szCs w:val="22"/>
        </w:rPr>
        <w:t>Ensure ads comply with platform policies and brand guidelines.</w:t>
      </w:r>
    </w:p>
    <w:p w14:paraId="7A285B66" w14:textId="794754BB" w:rsidR="0010104E" w:rsidRPr="00947AA0" w:rsidRDefault="00947AA0" w:rsidP="00947AA0">
      <w:pPr>
        <w:rPr>
          <w:rFonts w:ascii="Arial" w:hAnsi="Arial" w:cs="Arial"/>
          <w:sz w:val="22"/>
          <w:szCs w:val="22"/>
        </w:rPr>
      </w:pPr>
      <w:r w:rsidRPr="00947AA0">
        <w:rPr>
          <w:rFonts w:ascii="Arial" w:hAnsi="Arial" w:cs="Arial"/>
          <w:sz w:val="22"/>
          <w:szCs w:val="22"/>
        </w:rPr>
        <w:t>Avoid placements in sensitive or controversial environments.</w:t>
      </w:r>
    </w:p>
    <w:tbl>
      <w:tblPr>
        <w:tblW w:w="6159" w:type="dxa"/>
        <w:tblLook w:val="04A0" w:firstRow="1" w:lastRow="0" w:firstColumn="1" w:lastColumn="0" w:noHBand="0" w:noVBand="1"/>
      </w:tblPr>
      <w:tblGrid>
        <w:gridCol w:w="821"/>
        <w:gridCol w:w="2078"/>
        <w:gridCol w:w="2027"/>
        <w:gridCol w:w="1233"/>
      </w:tblGrid>
      <w:tr w:rsidR="009D497C" w:rsidRPr="009D497C" w14:paraId="19DDCA74" w14:textId="77777777" w:rsidTr="00055F73">
        <w:trPr>
          <w:trHeight w:val="260"/>
        </w:trPr>
        <w:tc>
          <w:tcPr>
            <w:tcW w:w="6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4A4A9" w14:textId="77777777" w:rsidR="009D497C" w:rsidRPr="009D497C" w:rsidRDefault="009D497C" w:rsidP="009D497C">
            <w:pPr>
              <w:spacing w:after="0" w:line="240" w:lineRule="auto"/>
              <w:jc w:val="center"/>
              <w:rPr>
                <w:rFonts w:ascii="Franklin Gothic Book" w:eastAsia="Times New Roman" w:hAnsi="Franklin Gothic Book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Digital Media Buying (project basis)</w:t>
            </w:r>
          </w:p>
        </w:tc>
      </w:tr>
      <w:tr w:rsidR="009D497C" w:rsidRPr="009D497C" w14:paraId="057A0F0C" w14:textId="77777777" w:rsidTr="00055F73">
        <w:trPr>
          <w:trHeight w:val="65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7C8F" w14:textId="77777777" w:rsidR="009D497C" w:rsidRPr="009D497C" w:rsidRDefault="009D497C" w:rsidP="009D497C">
            <w:pPr>
              <w:spacing w:after="0" w:line="240" w:lineRule="auto"/>
              <w:rPr>
                <w:rFonts w:ascii="Franklin Gothic Book" w:eastAsia="Times New Roman" w:hAnsi="Franklin Gothic Book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SI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7189" w14:textId="77777777" w:rsidR="009D497C" w:rsidRPr="009D497C" w:rsidRDefault="009D497C" w:rsidP="009D497C">
            <w:pPr>
              <w:spacing w:after="0" w:line="240" w:lineRule="auto"/>
              <w:jc w:val="center"/>
              <w:rPr>
                <w:rFonts w:ascii="Franklin Gothic Book" w:eastAsia="Times New Roman" w:hAnsi="Franklin Gothic Book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Platform Name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76AB6" w14:textId="77777777" w:rsidR="009D497C" w:rsidRPr="009D497C" w:rsidRDefault="009D497C" w:rsidP="009D497C">
            <w:pPr>
              <w:spacing w:after="0" w:line="240" w:lineRule="auto"/>
              <w:jc w:val="center"/>
              <w:rPr>
                <w:rFonts w:ascii="Franklin Gothic Book" w:eastAsia="Times New Roman" w:hAnsi="Franklin Gothic Book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Remittance Tax or Platform Charge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5AF12" w14:textId="77777777" w:rsidR="009D497C" w:rsidRPr="009D497C" w:rsidRDefault="009D497C" w:rsidP="009D497C">
            <w:pPr>
              <w:spacing w:after="0" w:line="240" w:lineRule="auto"/>
              <w:jc w:val="center"/>
              <w:rPr>
                <w:rFonts w:ascii="Franklin Gothic Book" w:eastAsia="Times New Roman" w:hAnsi="Franklin Gothic Book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Agency Service Fee</w:t>
            </w:r>
          </w:p>
        </w:tc>
      </w:tr>
      <w:tr w:rsidR="009D497C" w:rsidRPr="009D497C" w14:paraId="6C4F4446" w14:textId="77777777" w:rsidTr="00055F73">
        <w:trPr>
          <w:trHeight w:val="26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FFA1B" w14:textId="77777777" w:rsidR="009D497C" w:rsidRPr="009D497C" w:rsidRDefault="009D497C" w:rsidP="009D497C">
            <w:pPr>
              <w:spacing w:after="0" w:line="240" w:lineRule="auto"/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AA0DF" w14:textId="77777777" w:rsidR="009D497C" w:rsidRPr="009D497C" w:rsidRDefault="009D497C" w:rsidP="009D497C">
            <w:pPr>
              <w:spacing w:after="0" w:line="240" w:lineRule="auto"/>
              <w:rPr>
                <w:rFonts w:ascii="Franklin Gothic Book" w:eastAsia="Times New Roman" w:hAnsi="Franklin Gothic Book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color w:val="000000"/>
                <w:kern w:val="0"/>
                <w:sz w:val="20"/>
                <w:szCs w:val="20"/>
                <w14:ligatures w14:val="none"/>
              </w:rPr>
              <w:t>Meta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A544A" w14:textId="77777777" w:rsidR="009D497C" w:rsidRPr="009D497C" w:rsidRDefault="009D497C" w:rsidP="009D497C">
            <w:pPr>
              <w:spacing w:after="0" w:line="240" w:lineRule="auto"/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08D73" w14:textId="77777777" w:rsidR="009D497C" w:rsidRPr="009D497C" w:rsidRDefault="009D497C" w:rsidP="009D497C">
            <w:pPr>
              <w:spacing w:after="0" w:line="240" w:lineRule="auto"/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9D497C" w:rsidRPr="009D497C" w14:paraId="66C7B430" w14:textId="77777777" w:rsidTr="00055F73">
        <w:trPr>
          <w:trHeight w:val="26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B26EB" w14:textId="77777777" w:rsidR="009D497C" w:rsidRPr="009D497C" w:rsidRDefault="009D497C" w:rsidP="009D497C">
            <w:pPr>
              <w:spacing w:after="0" w:line="240" w:lineRule="auto"/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0D805" w14:textId="77777777" w:rsidR="009D497C" w:rsidRPr="009D497C" w:rsidRDefault="009D497C" w:rsidP="009D497C">
            <w:pPr>
              <w:spacing w:after="0" w:line="240" w:lineRule="auto"/>
              <w:rPr>
                <w:rFonts w:ascii="Franklin Gothic Book" w:eastAsia="Times New Roman" w:hAnsi="Franklin Gothic Book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color w:val="000000"/>
                <w:kern w:val="0"/>
                <w:sz w:val="20"/>
                <w:szCs w:val="20"/>
                <w14:ligatures w14:val="none"/>
              </w:rPr>
              <w:t>Google/</w:t>
            </w:r>
            <w:proofErr w:type="spellStart"/>
            <w:r w:rsidRPr="009D497C">
              <w:rPr>
                <w:rFonts w:ascii="Franklin Gothic Book" w:eastAsia="Times New Roman" w:hAnsi="Franklin Gothic Book" w:cs="Calibri"/>
                <w:color w:val="000000"/>
                <w:kern w:val="0"/>
                <w:sz w:val="20"/>
                <w:szCs w:val="20"/>
                <w14:ligatures w14:val="none"/>
              </w:rPr>
              <w:t>Youtube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BF8B4" w14:textId="77777777" w:rsidR="009D497C" w:rsidRPr="009D497C" w:rsidRDefault="009D497C" w:rsidP="009D497C">
            <w:pPr>
              <w:spacing w:after="0" w:line="240" w:lineRule="auto"/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0F6C5" w14:textId="77777777" w:rsidR="009D497C" w:rsidRPr="009D497C" w:rsidRDefault="009D497C" w:rsidP="009D497C">
            <w:pPr>
              <w:spacing w:after="0" w:line="240" w:lineRule="auto"/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9D497C" w:rsidRPr="009D497C" w14:paraId="0EEC88CC" w14:textId="77777777" w:rsidTr="00055F73">
        <w:trPr>
          <w:trHeight w:val="268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8805D" w14:textId="77777777" w:rsidR="009D497C" w:rsidRPr="009D497C" w:rsidRDefault="009D497C" w:rsidP="009D497C">
            <w:pPr>
              <w:spacing w:after="0" w:line="240" w:lineRule="auto"/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12AFA" w14:textId="77777777" w:rsidR="009D497C" w:rsidRPr="009D497C" w:rsidRDefault="009D497C" w:rsidP="009D497C">
            <w:pPr>
              <w:spacing w:after="0" w:line="240" w:lineRule="auto"/>
              <w:rPr>
                <w:rFonts w:ascii="Franklin Gothic Book" w:eastAsia="Times New Roman" w:hAnsi="Franklin Gothic Book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9D497C">
              <w:rPr>
                <w:rFonts w:ascii="Franklin Gothic Book" w:eastAsia="Times New Roman" w:hAnsi="Franklin Gothic Book" w:cs="Calibri"/>
                <w:color w:val="000000"/>
                <w:kern w:val="0"/>
                <w:sz w:val="20"/>
                <w:szCs w:val="20"/>
                <w14:ligatures w14:val="none"/>
              </w:rPr>
              <w:t>Tiktok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AA5B1" w14:textId="77777777" w:rsidR="009D497C" w:rsidRPr="009D497C" w:rsidRDefault="009D497C" w:rsidP="009D497C">
            <w:pPr>
              <w:spacing w:after="0" w:line="240" w:lineRule="auto"/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34E37" w14:textId="77777777" w:rsidR="009D497C" w:rsidRPr="009D497C" w:rsidRDefault="009D497C" w:rsidP="009D497C">
            <w:pPr>
              <w:spacing w:after="0" w:line="240" w:lineRule="auto"/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Franklin Gothic Book" w:eastAsia="Times New Roman" w:hAnsi="Franklin Gothic Book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</w:tbl>
    <w:p w14:paraId="608AF6A4" w14:textId="77777777" w:rsidR="007064A3" w:rsidRPr="00947AA0" w:rsidRDefault="007064A3" w:rsidP="000261CA">
      <w:pPr>
        <w:rPr>
          <w:rFonts w:ascii="Arial" w:hAnsi="Arial" w:cs="Arial"/>
          <w:b/>
          <w:bCs/>
        </w:rPr>
      </w:pPr>
      <w:bookmarkStart w:id="0" w:name="_Hlk203658281"/>
    </w:p>
    <w:p w14:paraId="5677413C" w14:textId="03B69C10" w:rsidR="000261CA" w:rsidRPr="00EE21FE" w:rsidRDefault="000261CA" w:rsidP="00EE21F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E21FE">
        <w:rPr>
          <w:rFonts w:ascii="Arial" w:hAnsi="Arial" w:cs="Arial"/>
          <w:b/>
          <w:bCs/>
        </w:rPr>
        <w:t xml:space="preserve">Social Media Query/Community Management </w:t>
      </w:r>
    </w:p>
    <w:bookmarkEnd w:id="0"/>
    <w:p w14:paraId="0B794D9D" w14:textId="10BEDF22" w:rsidR="000261CA" w:rsidRPr="009D497C" w:rsidRDefault="000261CA" w:rsidP="000261CA">
      <w:pPr>
        <w:rPr>
          <w:rFonts w:ascii="Arial" w:hAnsi="Arial" w:cs="Arial"/>
        </w:rPr>
      </w:pPr>
      <w:r w:rsidRPr="009D497C">
        <w:rPr>
          <w:rFonts w:ascii="Arial" w:hAnsi="Arial" w:cs="Arial"/>
        </w:rPr>
        <w:t xml:space="preserve">Managing BRAC Bank Facebook page, TARA Page, </w:t>
      </w:r>
      <w:proofErr w:type="spellStart"/>
      <w:r w:rsidRPr="009D497C">
        <w:rPr>
          <w:rFonts w:ascii="Arial" w:hAnsi="Arial" w:cs="Arial"/>
        </w:rPr>
        <w:t>Tiktok</w:t>
      </w:r>
      <w:proofErr w:type="spellEnd"/>
      <w:r w:rsidRPr="009D497C">
        <w:rPr>
          <w:rFonts w:ascii="Arial" w:hAnsi="Arial" w:cs="Arial"/>
        </w:rPr>
        <w:t xml:space="preserve"> profile, </w:t>
      </w:r>
      <w:proofErr w:type="spellStart"/>
      <w:r w:rsidRPr="009D497C">
        <w:rPr>
          <w:rFonts w:ascii="Arial" w:hAnsi="Arial" w:cs="Arial"/>
        </w:rPr>
        <w:t>Youtube</w:t>
      </w:r>
      <w:proofErr w:type="spellEnd"/>
      <w:r w:rsidRPr="009D497C">
        <w:rPr>
          <w:rFonts w:ascii="Arial" w:hAnsi="Arial" w:cs="Arial"/>
        </w:rPr>
        <w:t xml:space="preserve"> Channel and LinkedIn profile services (inbox, comments, lead generation etc.) &amp; Community Management service.</w:t>
      </w:r>
      <w:r w:rsidR="0010104E">
        <w:rPr>
          <w:rFonts w:ascii="Arial" w:hAnsi="Arial" w:cs="Arial"/>
        </w:rPr>
        <w:t xml:space="preserve"> Social listening Service.</w:t>
      </w:r>
      <w:r w:rsidRPr="009D497C">
        <w:rPr>
          <w:rFonts w:ascii="Arial" w:hAnsi="Arial" w:cs="Arial"/>
        </w:rPr>
        <w:t xml:space="preserve"> </w:t>
      </w:r>
    </w:p>
    <w:p w14:paraId="42156942" w14:textId="77777777" w:rsidR="00947AA0" w:rsidRPr="009D497C" w:rsidRDefault="00947AA0" w:rsidP="00947AA0">
      <w:pPr>
        <w:rPr>
          <w:rFonts w:ascii="Arial" w:hAnsi="Arial" w:cs="Arial"/>
        </w:rPr>
      </w:pPr>
      <w:r w:rsidRPr="009D497C">
        <w:rPr>
          <w:rFonts w:ascii="Arial" w:hAnsi="Arial" w:cs="Arial"/>
        </w:rPr>
        <w:t>Monitor and respond to audience queries, comments, and messages within an agreed SLA.</w:t>
      </w:r>
    </w:p>
    <w:p w14:paraId="6373B5CF" w14:textId="556C953E" w:rsidR="00947AA0" w:rsidRPr="009D497C" w:rsidRDefault="00947AA0" w:rsidP="00947AA0">
      <w:pPr>
        <w:rPr>
          <w:rFonts w:ascii="Arial" w:hAnsi="Arial" w:cs="Arial"/>
        </w:rPr>
      </w:pPr>
      <w:r w:rsidRPr="009D497C">
        <w:rPr>
          <w:rFonts w:ascii="Arial" w:hAnsi="Arial" w:cs="Arial"/>
        </w:rPr>
        <w:t>Escalate sensitive queries or complaints to internal stakeholders as per protocol.</w:t>
      </w:r>
    </w:p>
    <w:p w14:paraId="6912BF6E" w14:textId="77777777" w:rsidR="00947AA0" w:rsidRPr="009D497C" w:rsidRDefault="00947AA0" w:rsidP="00947AA0">
      <w:pPr>
        <w:rPr>
          <w:rFonts w:ascii="Arial" w:hAnsi="Arial" w:cs="Arial"/>
        </w:rPr>
      </w:pPr>
      <w:r w:rsidRPr="009D497C">
        <w:rPr>
          <w:rFonts w:ascii="Arial" w:hAnsi="Arial" w:cs="Arial"/>
        </w:rPr>
        <w:t>Build positive relationships with followers, influencers, and relevant groups.</w:t>
      </w:r>
    </w:p>
    <w:p w14:paraId="4D290B3C" w14:textId="271E5559" w:rsidR="00947AA0" w:rsidRPr="009D497C" w:rsidRDefault="00947AA0" w:rsidP="000261CA">
      <w:pPr>
        <w:rPr>
          <w:rFonts w:ascii="Arial" w:hAnsi="Arial" w:cs="Arial"/>
        </w:rPr>
      </w:pPr>
      <w:r w:rsidRPr="009D497C">
        <w:rPr>
          <w:rFonts w:ascii="Arial" w:hAnsi="Arial" w:cs="Arial"/>
        </w:rPr>
        <w:t>Monitor conversations around the brand, industry, and competitors.</w:t>
      </w:r>
    </w:p>
    <w:p w14:paraId="0FBC4AC0" w14:textId="77777777" w:rsidR="000261CA" w:rsidRPr="009D497C" w:rsidRDefault="000261CA" w:rsidP="000261CA">
      <w:pPr>
        <w:rPr>
          <w:rFonts w:ascii="Arial" w:hAnsi="Arial" w:cs="Arial"/>
        </w:rPr>
      </w:pPr>
      <w:r w:rsidRPr="009D497C">
        <w:rPr>
          <w:rFonts w:ascii="Arial" w:hAnsi="Arial" w:cs="Arial"/>
          <w:lang w:val="en-GB"/>
        </w:rPr>
        <w:t>*Monthly query volume range is 10-12k and resource are proposed against this volume</w:t>
      </w:r>
    </w:p>
    <w:p w14:paraId="458C5B9A" w14:textId="74149F53" w:rsidR="000261CA" w:rsidRPr="009D497C" w:rsidRDefault="000261CA" w:rsidP="000261CA">
      <w:pPr>
        <w:rPr>
          <w:rFonts w:ascii="Arial" w:hAnsi="Arial" w:cs="Arial"/>
        </w:rPr>
      </w:pPr>
      <w:r w:rsidRPr="009D497C">
        <w:rPr>
          <w:rFonts w:ascii="Arial" w:hAnsi="Arial" w:cs="Arial"/>
          <w:lang w:val="en-GB"/>
        </w:rPr>
        <w:t xml:space="preserve">* </w:t>
      </w:r>
      <w:r w:rsidR="007064A3" w:rsidRPr="009D497C">
        <w:rPr>
          <w:rFonts w:ascii="Arial" w:hAnsi="Arial" w:cs="Arial"/>
          <w:lang w:val="en-GB"/>
        </w:rPr>
        <w:t>Dedicated team</w:t>
      </w:r>
      <w:r w:rsidRPr="009D497C">
        <w:rPr>
          <w:rFonts w:ascii="Arial" w:hAnsi="Arial" w:cs="Arial"/>
          <w:lang w:val="en-GB"/>
        </w:rPr>
        <w:t xml:space="preserve"> </w:t>
      </w:r>
      <w:r w:rsidR="007064A3" w:rsidRPr="009D497C">
        <w:rPr>
          <w:rFonts w:ascii="Arial" w:hAnsi="Arial" w:cs="Arial"/>
          <w:lang w:val="en-GB"/>
        </w:rPr>
        <w:t xml:space="preserve">required </w:t>
      </w:r>
      <w:r w:rsidRPr="009D497C">
        <w:rPr>
          <w:rFonts w:ascii="Arial" w:hAnsi="Arial" w:cs="Arial"/>
          <w:lang w:val="en-GB"/>
        </w:rPr>
        <w:t>for community</w:t>
      </w:r>
      <w:r w:rsidR="007064A3" w:rsidRPr="009D497C">
        <w:rPr>
          <w:rFonts w:ascii="Arial" w:hAnsi="Arial" w:cs="Arial"/>
          <w:lang w:val="en-GB"/>
        </w:rPr>
        <w:t xml:space="preserve"> management </w:t>
      </w:r>
    </w:p>
    <w:p w14:paraId="6A0810DD" w14:textId="4B65D1C6" w:rsidR="000261CA" w:rsidRPr="009D497C" w:rsidRDefault="000261CA" w:rsidP="000261CA">
      <w:pPr>
        <w:rPr>
          <w:rFonts w:ascii="Arial" w:hAnsi="Arial" w:cs="Arial"/>
        </w:rPr>
      </w:pPr>
      <w:r w:rsidRPr="009D497C">
        <w:rPr>
          <w:rFonts w:ascii="Arial" w:hAnsi="Arial" w:cs="Arial"/>
          <w:lang w:val="en-GB"/>
        </w:rPr>
        <w:t>*Proposed SLA=3</w:t>
      </w:r>
      <w:r w:rsidR="009D497C" w:rsidRPr="009D497C">
        <w:rPr>
          <w:rFonts w:ascii="Arial" w:hAnsi="Arial" w:cs="Arial"/>
          <w:lang w:val="en-GB"/>
        </w:rPr>
        <w:t xml:space="preserve">0 </w:t>
      </w:r>
      <w:r w:rsidR="007064A3" w:rsidRPr="009D497C">
        <w:rPr>
          <w:rFonts w:ascii="Arial" w:hAnsi="Arial" w:cs="Arial"/>
          <w:lang w:val="en-GB"/>
        </w:rPr>
        <w:t>minutes</w:t>
      </w:r>
      <w:r w:rsidRPr="009D497C">
        <w:rPr>
          <w:rFonts w:ascii="Arial" w:hAnsi="Arial" w:cs="Arial"/>
          <w:lang w:val="en-GB"/>
        </w:rPr>
        <w:t>                                                                                                                               *Service hour- 24/7      </w:t>
      </w:r>
    </w:p>
    <w:tbl>
      <w:tblPr>
        <w:tblW w:w="8279" w:type="dxa"/>
        <w:tblLook w:val="04A0" w:firstRow="1" w:lastRow="0" w:firstColumn="1" w:lastColumn="0" w:noHBand="0" w:noVBand="1"/>
      </w:tblPr>
      <w:tblGrid>
        <w:gridCol w:w="786"/>
        <w:gridCol w:w="1990"/>
        <w:gridCol w:w="1940"/>
        <w:gridCol w:w="1179"/>
        <w:gridCol w:w="2384"/>
      </w:tblGrid>
      <w:tr w:rsidR="007064A3" w:rsidRPr="009D497C" w14:paraId="35314542" w14:textId="77777777" w:rsidTr="00C526A9">
        <w:trPr>
          <w:trHeight w:val="204"/>
        </w:trPr>
        <w:tc>
          <w:tcPr>
            <w:tcW w:w="8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7391D9A" w14:textId="77777777" w:rsidR="007064A3" w:rsidRPr="009D497C" w:rsidRDefault="007064A3" w:rsidP="007064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Agency Name:</w:t>
            </w:r>
          </w:p>
        </w:tc>
      </w:tr>
      <w:tr w:rsidR="007064A3" w:rsidRPr="009D497C" w14:paraId="124A35D2" w14:textId="77777777" w:rsidTr="00C526A9">
        <w:trPr>
          <w:trHeight w:val="49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AC42D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D497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SI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CBF6" w14:textId="77777777" w:rsidR="007064A3" w:rsidRPr="009D497C" w:rsidRDefault="007064A3" w:rsidP="0070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D497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Designation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17F7F" w14:textId="77777777" w:rsidR="007064A3" w:rsidRPr="009D497C" w:rsidRDefault="007064A3" w:rsidP="0070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D497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Price per month including Tax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10F6" w14:textId="77777777" w:rsidR="007064A3" w:rsidRPr="009D497C" w:rsidRDefault="007064A3" w:rsidP="0070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D497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Vat (15%)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A7CD" w14:textId="77777777" w:rsidR="007064A3" w:rsidRPr="009D497C" w:rsidRDefault="007064A3" w:rsidP="00706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D497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Total per month including Vat &amp; Tax</w:t>
            </w:r>
          </w:p>
        </w:tc>
      </w:tr>
      <w:tr w:rsidR="007064A3" w:rsidRPr="009D497C" w14:paraId="4D58F59D" w14:textId="77777777" w:rsidTr="00C526A9">
        <w:trPr>
          <w:trHeight w:val="551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F84AB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1639F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Community Engagement Supervisor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799E3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76C1D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B556D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064A3" w:rsidRPr="009D497C" w14:paraId="420BEBE3" w14:textId="77777777" w:rsidTr="00C526A9">
        <w:trPr>
          <w:trHeight w:val="551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358A8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0FF5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Community Engagement Executive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9E533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A9C0A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0DC30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064A3" w:rsidRPr="009D497C" w14:paraId="4F78C6B3" w14:textId="77777777" w:rsidTr="00C526A9">
        <w:trPr>
          <w:trHeight w:val="551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5441F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3F3D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Community Engagement Executive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DE92B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6E094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24BF4" w14:textId="77777777" w:rsidR="007064A3" w:rsidRPr="009D497C" w:rsidRDefault="007064A3" w:rsidP="00706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9D497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</w:tbl>
    <w:p w14:paraId="757756A6" w14:textId="77777777" w:rsidR="000261CA" w:rsidRPr="009D497C" w:rsidRDefault="000261CA" w:rsidP="000261CA">
      <w:pPr>
        <w:rPr>
          <w:rFonts w:ascii="Arial" w:hAnsi="Arial" w:cs="Arial"/>
        </w:rPr>
      </w:pPr>
    </w:p>
    <w:p w14:paraId="02AC4631" w14:textId="77777777" w:rsidR="007064A3" w:rsidRPr="00947AA0" w:rsidRDefault="007064A3" w:rsidP="000261CA">
      <w:pPr>
        <w:rPr>
          <w:rFonts w:ascii="Arial" w:hAnsi="Arial" w:cs="Arial"/>
        </w:rPr>
      </w:pPr>
    </w:p>
    <w:p w14:paraId="47A3456B" w14:textId="77777777" w:rsidR="000261CA" w:rsidRDefault="000261CA" w:rsidP="000261CA">
      <w:pPr>
        <w:rPr>
          <w:rFonts w:ascii="Arial" w:hAnsi="Arial" w:cs="Arial"/>
        </w:rPr>
      </w:pPr>
      <w:r w:rsidRPr="00947AA0">
        <w:rPr>
          <w:rFonts w:ascii="Arial" w:hAnsi="Arial" w:cs="Arial"/>
        </w:rPr>
        <w:t> </w:t>
      </w:r>
    </w:p>
    <w:p w14:paraId="3E7856CF" w14:textId="77777777" w:rsidR="005045F3" w:rsidRDefault="005045F3" w:rsidP="000261CA">
      <w:pPr>
        <w:rPr>
          <w:rFonts w:ascii="Arial" w:hAnsi="Arial" w:cs="Arial"/>
        </w:rPr>
      </w:pPr>
    </w:p>
    <w:p w14:paraId="0ACCDD69" w14:textId="77777777" w:rsidR="005045F3" w:rsidRDefault="005045F3" w:rsidP="000261CA">
      <w:pPr>
        <w:rPr>
          <w:rFonts w:ascii="Arial" w:hAnsi="Arial" w:cs="Arial"/>
        </w:rPr>
      </w:pPr>
    </w:p>
    <w:p w14:paraId="4D3717EE" w14:textId="77777777" w:rsidR="005045F3" w:rsidRDefault="005045F3" w:rsidP="000261CA">
      <w:pPr>
        <w:rPr>
          <w:rFonts w:ascii="Arial" w:hAnsi="Arial" w:cs="Arial"/>
        </w:rPr>
      </w:pPr>
    </w:p>
    <w:p w14:paraId="2668EC91" w14:textId="77777777" w:rsidR="005045F3" w:rsidRPr="009925EE" w:rsidRDefault="005045F3" w:rsidP="005045F3">
      <w:pPr>
        <w:pStyle w:val="ListParagraph"/>
        <w:numPr>
          <w:ilvl w:val="0"/>
          <w:numId w:val="2"/>
        </w:numPr>
        <w:spacing w:after="0" w:line="240" w:lineRule="atLeast"/>
        <w:rPr>
          <w:rFonts w:ascii="Franklin Gothic Book" w:hAnsi="Franklin Gothic Book" w:cs="Times New Roman"/>
          <w:b/>
          <w:bCs/>
          <w:u w:val="single"/>
        </w:rPr>
      </w:pPr>
      <w:r w:rsidRPr="009925EE">
        <w:rPr>
          <w:rFonts w:ascii="Franklin Gothic Book" w:hAnsi="Franklin Gothic Book" w:cs="Times New Roman"/>
          <w:b/>
          <w:bCs/>
          <w:u w:val="single"/>
        </w:rPr>
        <w:lastRenderedPageBreak/>
        <w:t>Public Relations Service:</w:t>
      </w:r>
    </w:p>
    <w:p w14:paraId="2248473A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b/>
          <w:bCs/>
          <w:sz w:val="22"/>
          <w:szCs w:val="22"/>
        </w:rPr>
      </w:pPr>
    </w:p>
    <w:p w14:paraId="49E139A9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  <w:r w:rsidRPr="009925EE">
        <w:rPr>
          <w:rFonts w:ascii="Franklin Gothic Book" w:hAnsi="Franklin Gothic Book" w:cs="Times New Roman"/>
          <w:sz w:val="22"/>
          <w:szCs w:val="22"/>
        </w:rPr>
        <w:t>BRAC Bank PLC. will assign an agency as its Media &amp; PR Agency on monthly retainer basis through a competitive bidding as official media buying agency as per the following terms:</w:t>
      </w:r>
    </w:p>
    <w:p w14:paraId="606DEE12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74531508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  <w:r w:rsidRPr="009925EE">
        <w:rPr>
          <w:rFonts w:ascii="Franklin Gothic Book" w:hAnsi="Franklin Gothic Book" w:cs="Times New Roman"/>
          <w:sz w:val="22"/>
          <w:szCs w:val="22"/>
        </w:rPr>
        <w:t xml:space="preserve">Services required per month: </w:t>
      </w:r>
    </w:p>
    <w:p w14:paraId="325AD4B6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337"/>
        <w:gridCol w:w="3825"/>
        <w:gridCol w:w="2520"/>
      </w:tblGrid>
      <w:tr w:rsidR="005045F3" w:rsidRPr="009925EE" w14:paraId="4011D18C" w14:textId="77777777" w:rsidTr="00A90982">
        <w:trPr>
          <w:trHeight w:val="552"/>
        </w:trPr>
        <w:tc>
          <w:tcPr>
            <w:tcW w:w="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F06E2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b/>
                <w:bCs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b/>
                <w:bCs/>
                <w:sz w:val="22"/>
                <w:szCs w:val="22"/>
              </w:rPr>
              <w:t>SL</w:t>
            </w:r>
          </w:p>
        </w:tc>
        <w:tc>
          <w:tcPr>
            <w:tcW w:w="33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7F1DB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b/>
                <w:bCs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b/>
                <w:bCs/>
                <w:sz w:val="22"/>
                <w:szCs w:val="22"/>
              </w:rPr>
              <w:t>Deliverables Per Month</w:t>
            </w:r>
          </w:p>
        </w:tc>
        <w:tc>
          <w:tcPr>
            <w:tcW w:w="3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62BA8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b/>
                <w:bCs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b/>
                <w:bCs/>
                <w:sz w:val="22"/>
                <w:szCs w:val="22"/>
              </w:rPr>
              <w:t xml:space="preserve">Description of requirements </w:t>
            </w:r>
          </w:p>
        </w:tc>
        <w:tc>
          <w:tcPr>
            <w:tcW w:w="2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5C8B7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b/>
                <w:bCs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b/>
                <w:bCs/>
                <w:sz w:val="22"/>
                <w:szCs w:val="22"/>
              </w:rPr>
              <w:t xml:space="preserve">Parameters </w:t>
            </w:r>
          </w:p>
        </w:tc>
      </w:tr>
      <w:tr w:rsidR="005045F3" w:rsidRPr="009925EE" w14:paraId="06F3612D" w14:textId="77777777" w:rsidTr="00A90982">
        <w:trPr>
          <w:trHeight w:val="81"/>
        </w:trPr>
        <w:tc>
          <w:tcPr>
            <w:tcW w:w="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0C320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1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A5F3E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  <w:t xml:space="preserve">TV Coverage (3 events - Ensuring 10 coverage hits in top tier TV Channels for each event) </w:t>
            </w:r>
          </w:p>
          <w:p w14:paraId="6BD4A556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</w:pPr>
          </w:p>
          <w:p w14:paraId="57D7CFF3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  <w:tc>
          <w:tcPr>
            <w:tcW w:w="3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172EC" w14:textId="77777777" w:rsidR="005045F3" w:rsidRPr="009925EE" w:rsidRDefault="005045F3" w:rsidP="00A90982">
            <w:pPr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Ensuring coverage </w:t>
            </w:r>
            <w:proofErr w:type="gramStart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on</w:t>
            </w:r>
            <w:proofErr w:type="gramEnd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 the bank’s </w:t>
            </w:r>
            <w:proofErr w:type="gramStart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event</w:t>
            </w:r>
            <w:proofErr w:type="gramEnd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 prominently on leading TV channels. Releasing video stories.  </w:t>
            </w:r>
          </w:p>
        </w:tc>
        <w:tc>
          <w:tcPr>
            <w:tcW w:w="2520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292D1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 </w:t>
            </w:r>
          </w:p>
          <w:p w14:paraId="45B70F8D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210 press releases in a year </w:t>
            </w:r>
          </w:p>
          <w:p w14:paraId="1ADC73D5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  <w:p w14:paraId="16548387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Meeting yearly coverage target in Prothom Alo and The Daily Star </w:t>
            </w:r>
          </w:p>
          <w:p w14:paraId="4346A104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  <w:p w14:paraId="079C0188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Unpaid coverage value BDT 250 crore in a year (Print, online, TV) </w:t>
            </w:r>
          </w:p>
        </w:tc>
      </w:tr>
      <w:tr w:rsidR="005045F3" w:rsidRPr="009925EE" w14:paraId="66F8DBA2" w14:textId="77777777" w:rsidTr="00A90982">
        <w:trPr>
          <w:trHeight w:val="81"/>
        </w:trPr>
        <w:tc>
          <w:tcPr>
            <w:tcW w:w="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3B99D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2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493B3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18 press releases (15 coverage of each press release in top tier media)</w:t>
            </w:r>
          </w:p>
          <w:p w14:paraId="3FB327CC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</w:pPr>
          </w:p>
        </w:tc>
        <w:tc>
          <w:tcPr>
            <w:tcW w:w="3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A9AEB" w14:textId="77777777" w:rsidR="005045F3" w:rsidRPr="009925EE" w:rsidRDefault="005045F3" w:rsidP="00A90982">
            <w:pPr>
              <w:rPr>
                <w:rFonts w:ascii="Franklin Gothic Book" w:hAnsi="Franklin Gothic Book"/>
                <w:sz w:val="22"/>
                <w:szCs w:val="22"/>
              </w:rPr>
            </w:pPr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Six coverage in Prothom Alo and 10 coverage in The Daily Star in a month: </w:t>
            </w:r>
          </w:p>
          <w:p w14:paraId="4CE61318" w14:textId="77777777" w:rsidR="005045F3" w:rsidRPr="009925EE" w:rsidRDefault="005045F3" w:rsidP="00A90982">
            <w:pPr>
              <w:rPr>
                <w:rFonts w:ascii="Franklin Gothic Book" w:hAnsi="Franklin Gothic Book"/>
                <w:sz w:val="22"/>
                <w:szCs w:val="22"/>
              </w:rPr>
            </w:pPr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Must ensure coverage in 6 top-tier newspapers: </w:t>
            </w:r>
          </w:p>
          <w:p w14:paraId="317764E0" w14:textId="77777777" w:rsidR="005045F3" w:rsidRPr="009925EE" w:rsidRDefault="005045F3" w:rsidP="005045F3">
            <w:pPr>
              <w:pStyle w:val="ListParagraph"/>
              <w:numPr>
                <w:ilvl w:val="0"/>
                <w:numId w:val="3"/>
              </w:num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Prothom Alo </w:t>
            </w:r>
          </w:p>
          <w:p w14:paraId="4C65A118" w14:textId="77777777" w:rsidR="005045F3" w:rsidRPr="009925EE" w:rsidRDefault="005045F3" w:rsidP="005045F3">
            <w:pPr>
              <w:pStyle w:val="ListParagraph"/>
              <w:numPr>
                <w:ilvl w:val="0"/>
                <w:numId w:val="3"/>
              </w:num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The Financial Express </w:t>
            </w:r>
          </w:p>
          <w:p w14:paraId="71E1E6A3" w14:textId="77777777" w:rsidR="005045F3" w:rsidRPr="009925EE" w:rsidRDefault="005045F3" w:rsidP="005045F3">
            <w:pPr>
              <w:pStyle w:val="ListParagraph"/>
              <w:numPr>
                <w:ilvl w:val="0"/>
                <w:numId w:val="3"/>
              </w:num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The Daily Star </w:t>
            </w:r>
          </w:p>
          <w:p w14:paraId="025A0204" w14:textId="77777777" w:rsidR="005045F3" w:rsidRPr="009925EE" w:rsidRDefault="005045F3" w:rsidP="005045F3">
            <w:pPr>
              <w:pStyle w:val="ListParagraph"/>
              <w:numPr>
                <w:ilvl w:val="0"/>
                <w:numId w:val="3"/>
              </w:num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The Business Standard </w:t>
            </w:r>
          </w:p>
          <w:p w14:paraId="520BFE3D" w14:textId="77777777" w:rsidR="005045F3" w:rsidRPr="009925EE" w:rsidRDefault="005045F3" w:rsidP="005045F3">
            <w:pPr>
              <w:pStyle w:val="ListParagraph"/>
              <w:numPr>
                <w:ilvl w:val="0"/>
                <w:numId w:val="3"/>
              </w:num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  <w:proofErr w:type="spellStart"/>
            <w:r w:rsidRPr="009925EE">
              <w:rPr>
                <w:rFonts w:ascii="Franklin Gothic Book" w:hAnsi="Franklin Gothic Book"/>
                <w:sz w:val="22"/>
                <w:szCs w:val="22"/>
              </w:rPr>
              <w:t>Samakal</w:t>
            </w:r>
            <w:proofErr w:type="spellEnd"/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</w:p>
          <w:p w14:paraId="31253923" w14:textId="77777777" w:rsidR="005045F3" w:rsidRPr="009925EE" w:rsidRDefault="005045F3" w:rsidP="005045F3">
            <w:pPr>
              <w:pStyle w:val="ListParagraph"/>
              <w:numPr>
                <w:ilvl w:val="0"/>
                <w:numId w:val="3"/>
              </w:num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Bonik Barta </w:t>
            </w:r>
          </w:p>
          <w:p w14:paraId="7C0DCF6C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  <w:p w14:paraId="38DB6F07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proofErr w:type="gramStart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Have to</w:t>
            </w:r>
            <w:proofErr w:type="gramEnd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 ensure coverage in other newspapers: </w:t>
            </w:r>
          </w:p>
          <w:p w14:paraId="553F1EB5" w14:textId="77777777" w:rsidR="005045F3" w:rsidRPr="009925EE" w:rsidRDefault="005045F3" w:rsidP="005045F3">
            <w:pPr>
              <w:pStyle w:val="ListParagraph"/>
              <w:numPr>
                <w:ilvl w:val="0"/>
                <w:numId w:val="4"/>
              </w:num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Bangladesh </w:t>
            </w:r>
            <w:proofErr w:type="spellStart"/>
            <w:r w:rsidRPr="009925EE">
              <w:rPr>
                <w:rFonts w:ascii="Franklin Gothic Book" w:hAnsi="Franklin Gothic Book"/>
                <w:sz w:val="22"/>
                <w:szCs w:val="22"/>
              </w:rPr>
              <w:t>Ptraditin</w:t>
            </w:r>
            <w:proofErr w:type="spellEnd"/>
          </w:p>
          <w:p w14:paraId="7189E450" w14:textId="77777777" w:rsidR="005045F3" w:rsidRPr="009925EE" w:rsidRDefault="005045F3" w:rsidP="005045F3">
            <w:pPr>
              <w:pStyle w:val="ListParagraph"/>
              <w:numPr>
                <w:ilvl w:val="0"/>
                <w:numId w:val="4"/>
              </w:num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  <w:proofErr w:type="spellStart"/>
            <w:r w:rsidRPr="009925EE">
              <w:rPr>
                <w:rFonts w:ascii="Franklin Gothic Book" w:hAnsi="Franklin Gothic Book"/>
                <w:sz w:val="22"/>
                <w:szCs w:val="22"/>
              </w:rPr>
              <w:t>Kalbela</w:t>
            </w:r>
            <w:proofErr w:type="spellEnd"/>
          </w:p>
          <w:p w14:paraId="5208B3BE" w14:textId="77777777" w:rsidR="005045F3" w:rsidRPr="009925EE" w:rsidRDefault="005045F3" w:rsidP="005045F3">
            <w:pPr>
              <w:pStyle w:val="ListParagraph"/>
              <w:numPr>
                <w:ilvl w:val="0"/>
                <w:numId w:val="4"/>
              </w:num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  <w:proofErr w:type="spellStart"/>
            <w:r w:rsidRPr="009925EE">
              <w:rPr>
                <w:rFonts w:ascii="Franklin Gothic Book" w:hAnsi="Franklin Gothic Book"/>
                <w:sz w:val="22"/>
                <w:szCs w:val="22"/>
              </w:rPr>
              <w:t>Ittefaq</w:t>
            </w:r>
            <w:proofErr w:type="spellEnd"/>
          </w:p>
          <w:p w14:paraId="32E46268" w14:textId="77777777" w:rsidR="005045F3" w:rsidRPr="009925EE" w:rsidRDefault="005045F3" w:rsidP="005045F3">
            <w:pPr>
              <w:pStyle w:val="ListParagraph"/>
              <w:numPr>
                <w:ilvl w:val="0"/>
                <w:numId w:val="4"/>
              </w:num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proofErr w:type="spellStart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Jugantor</w:t>
            </w:r>
            <w:proofErr w:type="spellEnd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 </w:t>
            </w:r>
          </w:p>
          <w:p w14:paraId="7E9FF636" w14:textId="77777777" w:rsidR="005045F3" w:rsidRPr="009925EE" w:rsidRDefault="005045F3" w:rsidP="005045F3">
            <w:pPr>
              <w:pStyle w:val="ListParagraph"/>
              <w:numPr>
                <w:ilvl w:val="0"/>
                <w:numId w:val="4"/>
              </w:num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Kaler </w:t>
            </w:r>
            <w:proofErr w:type="spellStart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Kantho</w:t>
            </w:r>
            <w:proofErr w:type="spellEnd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 </w:t>
            </w:r>
          </w:p>
          <w:p w14:paraId="59B56BED" w14:textId="77777777" w:rsidR="005045F3" w:rsidRPr="009925EE" w:rsidRDefault="005045F3" w:rsidP="005045F3">
            <w:pPr>
              <w:pStyle w:val="ListParagraph"/>
              <w:numPr>
                <w:ilvl w:val="0"/>
                <w:numId w:val="4"/>
              </w:num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proofErr w:type="spellStart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Ajker</w:t>
            </w:r>
            <w:proofErr w:type="spellEnd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 Patrika </w:t>
            </w:r>
          </w:p>
          <w:p w14:paraId="1FFA5C1C" w14:textId="77777777" w:rsidR="005045F3" w:rsidRPr="009925EE" w:rsidRDefault="005045F3" w:rsidP="005045F3">
            <w:pPr>
              <w:pStyle w:val="ListParagraph"/>
              <w:numPr>
                <w:ilvl w:val="0"/>
                <w:numId w:val="4"/>
              </w:num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Rupali Bangladesh </w:t>
            </w:r>
          </w:p>
          <w:p w14:paraId="62AC5F0F" w14:textId="77777777" w:rsidR="005045F3" w:rsidRPr="009925EE" w:rsidRDefault="005045F3" w:rsidP="005045F3">
            <w:pPr>
              <w:pStyle w:val="ListParagraph"/>
              <w:numPr>
                <w:ilvl w:val="0"/>
                <w:numId w:val="4"/>
              </w:num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Dhaka Tribune </w:t>
            </w:r>
          </w:p>
          <w:p w14:paraId="09C7A7D5" w14:textId="77777777" w:rsidR="005045F3" w:rsidRPr="009925EE" w:rsidRDefault="005045F3" w:rsidP="005045F3">
            <w:pPr>
              <w:pStyle w:val="ListParagraph"/>
              <w:numPr>
                <w:ilvl w:val="0"/>
                <w:numId w:val="4"/>
              </w:num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Amader </w:t>
            </w:r>
            <w:proofErr w:type="spellStart"/>
            <w:r w:rsidRPr="009925EE">
              <w:rPr>
                <w:rFonts w:ascii="Franklin Gothic Book" w:hAnsi="Franklin Gothic Book"/>
                <w:sz w:val="22"/>
                <w:szCs w:val="22"/>
              </w:rPr>
              <w:t>Shomoy</w:t>
            </w:r>
            <w:proofErr w:type="spellEnd"/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</w:p>
          <w:p w14:paraId="4B7E40A3" w14:textId="77777777" w:rsidR="005045F3" w:rsidRPr="009925EE" w:rsidRDefault="005045F3" w:rsidP="005045F3">
            <w:pPr>
              <w:pStyle w:val="ListParagraph"/>
              <w:numPr>
                <w:ilvl w:val="0"/>
                <w:numId w:val="4"/>
              </w:num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New Age </w:t>
            </w:r>
          </w:p>
          <w:p w14:paraId="45829823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</w:p>
          <w:p w14:paraId="3E135846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/>
                <w:sz w:val="22"/>
                <w:szCs w:val="22"/>
              </w:rPr>
            </w:pPr>
            <w:r w:rsidRPr="009925EE">
              <w:rPr>
                <w:rFonts w:ascii="Franklin Gothic Book" w:hAnsi="Franklin Gothic Book"/>
                <w:sz w:val="22"/>
                <w:szCs w:val="22"/>
              </w:rPr>
              <w:t xml:space="preserve">Ensuring coverage in regional newspapers (Division, district, upazila level news media etc.) </w:t>
            </w:r>
          </w:p>
          <w:p w14:paraId="072E3BF1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  <w:p w14:paraId="13BE3D1B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N.B.: The list is not exhaustive </w:t>
            </w:r>
          </w:p>
        </w:tc>
        <w:tc>
          <w:tcPr>
            <w:tcW w:w="2520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B0343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</w:tr>
      <w:tr w:rsidR="005045F3" w:rsidRPr="009925EE" w14:paraId="3245589A" w14:textId="77777777" w:rsidTr="00A90982">
        <w:trPr>
          <w:trHeight w:val="81"/>
        </w:trPr>
        <w:tc>
          <w:tcPr>
            <w:tcW w:w="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BBD3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3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89605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  <w:t>2 Interviews on Radio/TV</w:t>
            </w:r>
          </w:p>
          <w:p w14:paraId="1FB02E23" w14:textId="77777777" w:rsidR="005045F3" w:rsidRPr="009925EE" w:rsidRDefault="005045F3" w:rsidP="00A90982">
            <w:pPr>
              <w:spacing w:after="0" w:line="240" w:lineRule="atLeast"/>
              <w:ind w:left="720"/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</w:pPr>
          </w:p>
        </w:tc>
        <w:tc>
          <w:tcPr>
            <w:tcW w:w="3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6B2FB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Two business </w:t>
            </w:r>
            <w:proofErr w:type="spellStart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talkshows</w:t>
            </w:r>
            <w:proofErr w:type="spellEnd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 on TV per month </w:t>
            </w:r>
          </w:p>
        </w:tc>
        <w:tc>
          <w:tcPr>
            <w:tcW w:w="2520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D1ED9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</w:tr>
      <w:tr w:rsidR="005045F3" w:rsidRPr="009925EE" w14:paraId="7D4E2620" w14:textId="77777777" w:rsidTr="00A90982">
        <w:trPr>
          <w:trHeight w:val="81"/>
        </w:trPr>
        <w:tc>
          <w:tcPr>
            <w:tcW w:w="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4E9C2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4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87AD7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  <w:t>2 Features in Magazine/Newspaper</w:t>
            </w:r>
          </w:p>
          <w:p w14:paraId="063D48E6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</w:pPr>
          </w:p>
        </w:tc>
        <w:tc>
          <w:tcPr>
            <w:tcW w:w="3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25B45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Publishing two special feature stories about impactful initiatives per month </w:t>
            </w:r>
          </w:p>
        </w:tc>
        <w:tc>
          <w:tcPr>
            <w:tcW w:w="2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45D5A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</w:tr>
      <w:tr w:rsidR="005045F3" w:rsidRPr="009925EE" w14:paraId="5016A140" w14:textId="77777777" w:rsidTr="00A90982">
        <w:trPr>
          <w:trHeight w:val="81"/>
        </w:trPr>
        <w:tc>
          <w:tcPr>
            <w:tcW w:w="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99110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EDAF9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  <w:t>Regular Media Engagement Plan &amp; Executing</w:t>
            </w:r>
          </w:p>
          <w:p w14:paraId="5D8332DC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</w:pPr>
          </w:p>
        </w:tc>
        <w:tc>
          <w:tcPr>
            <w:tcW w:w="3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308CE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Media engagement, gift, media anniversary greetings, media house visit </w:t>
            </w:r>
          </w:p>
        </w:tc>
        <w:tc>
          <w:tcPr>
            <w:tcW w:w="2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57A03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</w:tr>
      <w:tr w:rsidR="005045F3" w:rsidRPr="009925EE" w14:paraId="6E999C2A" w14:textId="77777777" w:rsidTr="00A90982">
        <w:trPr>
          <w:trHeight w:val="81"/>
        </w:trPr>
        <w:tc>
          <w:tcPr>
            <w:tcW w:w="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4FE21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6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5DE59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  <w:t xml:space="preserve">Crisis /Reputation Management for negative news (As and when required basis)  </w:t>
            </w:r>
          </w:p>
          <w:p w14:paraId="1F2FFC89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</w:pPr>
          </w:p>
        </w:tc>
        <w:tc>
          <w:tcPr>
            <w:tcW w:w="3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7E585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Providing media intelligence in advance to thwart negative </w:t>
            </w:r>
            <w:proofErr w:type="gramStart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report</w:t>
            </w:r>
            <w:proofErr w:type="gramEnd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. Proactive action on negative </w:t>
            </w:r>
            <w:proofErr w:type="gramStart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report</w:t>
            </w:r>
            <w:proofErr w:type="gramEnd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 and rebuttal. </w:t>
            </w:r>
          </w:p>
        </w:tc>
        <w:tc>
          <w:tcPr>
            <w:tcW w:w="2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CD94F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</w:tr>
      <w:tr w:rsidR="005045F3" w:rsidRPr="009925EE" w14:paraId="1D0AB527" w14:textId="77777777" w:rsidTr="00A90982">
        <w:trPr>
          <w:trHeight w:val="81"/>
        </w:trPr>
        <w:tc>
          <w:tcPr>
            <w:tcW w:w="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8E9C0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7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C3334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  <w:t xml:space="preserve">PR campaign (As and when required basis)  </w:t>
            </w:r>
          </w:p>
          <w:p w14:paraId="5C454488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  <w:lang w:val="en-AU"/>
              </w:rPr>
            </w:pPr>
          </w:p>
        </w:tc>
        <w:tc>
          <w:tcPr>
            <w:tcW w:w="3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2EBF2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Regular PR </w:t>
            </w:r>
            <w:proofErr w:type="gramStart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>campaign</w:t>
            </w:r>
            <w:proofErr w:type="gramEnd"/>
            <w:r w:rsidRPr="009925EE">
              <w:rPr>
                <w:rFonts w:ascii="Franklin Gothic Book" w:hAnsi="Franklin Gothic Book" w:cs="Times New Roman"/>
                <w:sz w:val="22"/>
                <w:szCs w:val="22"/>
              </w:rPr>
              <w:t xml:space="preserve"> to promote business and influence regulatory moves. </w:t>
            </w:r>
          </w:p>
        </w:tc>
        <w:tc>
          <w:tcPr>
            <w:tcW w:w="2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29B40" w14:textId="77777777" w:rsidR="005045F3" w:rsidRPr="009925EE" w:rsidRDefault="005045F3" w:rsidP="00A90982">
            <w:pPr>
              <w:spacing w:after="0" w:line="240" w:lineRule="atLeast"/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</w:tr>
    </w:tbl>
    <w:p w14:paraId="3ED456E9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7316F5E5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b/>
          <w:bCs/>
          <w:sz w:val="22"/>
          <w:szCs w:val="22"/>
        </w:rPr>
      </w:pPr>
      <w:r w:rsidRPr="009925EE">
        <w:rPr>
          <w:rFonts w:ascii="Franklin Gothic Book" w:hAnsi="Franklin Gothic Book" w:cs="Times New Roman"/>
          <w:b/>
          <w:bCs/>
          <w:sz w:val="22"/>
          <w:szCs w:val="22"/>
        </w:rPr>
        <w:t xml:space="preserve">Remuneration: </w:t>
      </w:r>
    </w:p>
    <w:p w14:paraId="52E43672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18098EC1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  <w:r w:rsidRPr="009925EE">
        <w:rPr>
          <w:rFonts w:ascii="Franklin Gothic Book" w:hAnsi="Franklin Gothic Book" w:cs="Times New Roman"/>
          <w:sz w:val="22"/>
          <w:szCs w:val="22"/>
        </w:rPr>
        <w:t xml:space="preserve">The agency will be appointed on monthly retainer basis. </w:t>
      </w:r>
      <w:r>
        <w:rPr>
          <w:rFonts w:ascii="Franklin Gothic Book" w:hAnsi="Franklin Gothic Book" w:cs="Times New Roman"/>
          <w:sz w:val="22"/>
          <w:szCs w:val="22"/>
        </w:rPr>
        <w:t>Price shall be inclusive of VAT &amp; Tax</w:t>
      </w:r>
    </w:p>
    <w:p w14:paraId="41B645B3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089CB7BA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b/>
          <w:bCs/>
          <w:sz w:val="22"/>
          <w:szCs w:val="22"/>
        </w:rPr>
      </w:pPr>
      <w:r w:rsidRPr="009925EE">
        <w:rPr>
          <w:rFonts w:ascii="Franklin Gothic Book" w:hAnsi="Franklin Gothic Book" w:cs="Times New Roman"/>
          <w:b/>
          <w:bCs/>
          <w:sz w:val="22"/>
          <w:szCs w:val="22"/>
        </w:rPr>
        <w:t>Contract Duration:</w:t>
      </w:r>
    </w:p>
    <w:p w14:paraId="7F4109EC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7D269B24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  <w:r w:rsidRPr="009925EE">
        <w:rPr>
          <w:rFonts w:ascii="Franklin Gothic Book" w:hAnsi="Franklin Gothic Book" w:cs="Times New Roman"/>
          <w:sz w:val="22"/>
          <w:szCs w:val="22"/>
        </w:rPr>
        <w:t>This deed of agreement will be for year and will be renewed as per mutual agreement monthly retainer fee.  </w:t>
      </w:r>
    </w:p>
    <w:p w14:paraId="4D1AB062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13ED86A2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1A529EF7" w14:textId="77777777" w:rsidR="005045F3" w:rsidRPr="00E53DBF" w:rsidRDefault="005045F3" w:rsidP="005045F3">
      <w:pPr>
        <w:pStyle w:val="ListParagraph"/>
        <w:numPr>
          <w:ilvl w:val="0"/>
          <w:numId w:val="2"/>
        </w:numPr>
        <w:spacing w:after="0" w:line="240" w:lineRule="atLeast"/>
        <w:rPr>
          <w:rFonts w:ascii="Franklin Gothic Book" w:hAnsi="Franklin Gothic Book" w:cs="Times New Roman"/>
          <w:b/>
          <w:bCs/>
          <w:u w:val="single"/>
        </w:rPr>
      </w:pPr>
      <w:r w:rsidRPr="00E53DBF">
        <w:rPr>
          <w:rFonts w:ascii="Franklin Gothic Book" w:hAnsi="Franklin Gothic Book" w:cs="Times New Roman"/>
          <w:b/>
          <w:bCs/>
          <w:u w:val="single"/>
        </w:rPr>
        <w:t xml:space="preserve">Scope of Media </w:t>
      </w:r>
      <w:r>
        <w:rPr>
          <w:rFonts w:ascii="Franklin Gothic Book" w:hAnsi="Franklin Gothic Book" w:cs="Times New Roman"/>
          <w:b/>
          <w:bCs/>
          <w:u w:val="single"/>
        </w:rPr>
        <w:t>B</w:t>
      </w:r>
      <w:r w:rsidRPr="00E53DBF">
        <w:rPr>
          <w:rFonts w:ascii="Franklin Gothic Book" w:hAnsi="Franklin Gothic Book" w:cs="Times New Roman"/>
          <w:b/>
          <w:bCs/>
          <w:u w:val="single"/>
        </w:rPr>
        <w:t>uying</w:t>
      </w:r>
      <w:r>
        <w:rPr>
          <w:rFonts w:ascii="Franklin Gothic Book" w:hAnsi="Franklin Gothic Book" w:cs="Times New Roman"/>
          <w:b/>
          <w:bCs/>
          <w:u w:val="single"/>
        </w:rPr>
        <w:t xml:space="preserve"> (print and other)</w:t>
      </w:r>
      <w:r w:rsidRPr="00E53DBF">
        <w:rPr>
          <w:rFonts w:ascii="Franklin Gothic Book" w:hAnsi="Franklin Gothic Book" w:cs="Times New Roman"/>
          <w:b/>
          <w:bCs/>
          <w:u w:val="single"/>
        </w:rPr>
        <w:t>:</w:t>
      </w:r>
    </w:p>
    <w:p w14:paraId="6EA9205A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694B067E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  <w:r w:rsidRPr="009925EE">
        <w:rPr>
          <w:rFonts w:ascii="Franklin Gothic Book" w:hAnsi="Franklin Gothic Book" w:cs="Times New Roman"/>
          <w:sz w:val="22"/>
          <w:szCs w:val="22"/>
        </w:rPr>
        <w:t>BRAC Bank will assign an agency through a competitive bidding as official media buying agency as per the following terms:</w:t>
      </w:r>
    </w:p>
    <w:p w14:paraId="7E44FBE4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37805E27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b/>
          <w:bCs/>
          <w:sz w:val="22"/>
          <w:szCs w:val="22"/>
        </w:rPr>
      </w:pPr>
      <w:r w:rsidRPr="009925EE">
        <w:rPr>
          <w:rFonts w:ascii="Franklin Gothic Book" w:hAnsi="Franklin Gothic Book" w:cs="Times New Roman"/>
          <w:b/>
          <w:bCs/>
          <w:sz w:val="22"/>
          <w:szCs w:val="22"/>
        </w:rPr>
        <w:t>Services:</w:t>
      </w:r>
    </w:p>
    <w:p w14:paraId="52A8CF9D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3131A4E2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  <w:r w:rsidRPr="009925EE">
        <w:rPr>
          <w:rFonts w:ascii="Franklin Gothic Book" w:hAnsi="Franklin Gothic Book" w:cs="Times New Roman"/>
          <w:sz w:val="22"/>
          <w:szCs w:val="22"/>
        </w:rPr>
        <w:t xml:space="preserve">As the official media buying agency, the selected agency will release all </w:t>
      </w:r>
      <w:proofErr w:type="gramStart"/>
      <w:r w:rsidRPr="009925EE">
        <w:rPr>
          <w:rFonts w:ascii="Franklin Gothic Book" w:hAnsi="Franklin Gothic Book" w:cs="Times New Roman"/>
          <w:sz w:val="22"/>
          <w:szCs w:val="22"/>
        </w:rPr>
        <w:t>advertisement</w:t>
      </w:r>
      <w:proofErr w:type="gramEnd"/>
      <w:r w:rsidRPr="009925EE">
        <w:rPr>
          <w:rFonts w:ascii="Franklin Gothic Book" w:hAnsi="Franklin Gothic Book" w:cs="Times New Roman"/>
          <w:sz w:val="22"/>
          <w:szCs w:val="22"/>
        </w:rPr>
        <w:t xml:space="preserve"> in print, radio, television and digital media during the agreement duration. </w:t>
      </w:r>
    </w:p>
    <w:p w14:paraId="588F4CB0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0C7DECEF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  <w:r w:rsidRPr="00BA7AC3">
        <w:rPr>
          <w:rFonts w:ascii="Franklin Gothic Book" w:hAnsi="Franklin Gothic Book" w:cs="Times New Roman"/>
          <w:b/>
          <w:bCs/>
          <w:sz w:val="22"/>
          <w:szCs w:val="22"/>
        </w:rPr>
        <w:t>Discount and Rate Chart</w:t>
      </w:r>
      <w:r w:rsidRPr="009925EE">
        <w:rPr>
          <w:rFonts w:ascii="Franklin Gothic Book" w:hAnsi="Franklin Gothic Book" w:cs="Times New Roman"/>
          <w:sz w:val="22"/>
          <w:szCs w:val="22"/>
        </w:rPr>
        <w:t>:</w:t>
      </w:r>
    </w:p>
    <w:p w14:paraId="55F73D01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08EC2157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  <w:r w:rsidRPr="009925EE">
        <w:rPr>
          <w:rFonts w:ascii="Franklin Gothic Book" w:hAnsi="Franklin Gothic Book" w:cs="Times New Roman"/>
          <w:sz w:val="22"/>
          <w:szCs w:val="22"/>
        </w:rPr>
        <w:t xml:space="preserve">The agency will provide discount </w:t>
      </w:r>
      <w:proofErr w:type="gramStart"/>
      <w:r w:rsidRPr="009925EE">
        <w:rPr>
          <w:rFonts w:ascii="Franklin Gothic Book" w:hAnsi="Franklin Gothic Book" w:cs="Times New Roman"/>
          <w:sz w:val="22"/>
          <w:szCs w:val="22"/>
        </w:rPr>
        <w:t>rate</w:t>
      </w:r>
      <w:proofErr w:type="gramEnd"/>
      <w:r w:rsidRPr="009925EE">
        <w:rPr>
          <w:rFonts w:ascii="Franklin Gothic Book" w:hAnsi="Franklin Gothic Book" w:cs="Times New Roman"/>
          <w:sz w:val="22"/>
          <w:szCs w:val="22"/>
        </w:rPr>
        <w:t xml:space="preserve"> and rate </w:t>
      </w:r>
      <w:proofErr w:type="gramStart"/>
      <w:r w:rsidRPr="009925EE">
        <w:rPr>
          <w:rFonts w:ascii="Franklin Gothic Book" w:hAnsi="Franklin Gothic Book" w:cs="Times New Roman"/>
          <w:sz w:val="22"/>
          <w:szCs w:val="22"/>
        </w:rPr>
        <w:t>card</w:t>
      </w:r>
      <w:proofErr w:type="gramEnd"/>
      <w:r w:rsidRPr="009925EE">
        <w:rPr>
          <w:rFonts w:ascii="Franklin Gothic Book" w:hAnsi="Franklin Gothic Book" w:cs="Times New Roman"/>
          <w:sz w:val="22"/>
          <w:szCs w:val="22"/>
        </w:rPr>
        <w:t>. The agency offering the highest discount will get preference. The rate is subject to change as per the rate modification by the newspapers from time to time.</w:t>
      </w:r>
    </w:p>
    <w:p w14:paraId="65C7AF24" w14:textId="77777777" w:rsidR="005045F3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3896DC2F" w14:textId="77777777" w:rsidR="005045F3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  <w:r>
        <w:rPr>
          <w:rFonts w:ascii="Franklin Gothic Book" w:hAnsi="Franklin Gothic Book" w:cs="Times New Roman"/>
          <w:sz w:val="22"/>
          <w:szCs w:val="22"/>
        </w:rPr>
        <w:t>A sample advertisement rate card shared as a sample basis.</w:t>
      </w:r>
    </w:p>
    <w:p w14:paraId="0E89C454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563D8868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  <w:lang w:val="en-GB"/>
        </w:rPr>
      </w:pPr>
      <w:r w:rsidRPr="009925EE">
        <w:rPr>
          <w:rFonts w:ascii="Franklin Gothic Book" w:hAnsi="Franklin Gothic Book" w:cs="Times New Roman"/>
          <w:b/>
          <w:bCs/>
          <w:sz w:val="22"/>
          <w:szCs w:val="22"/>
          <w:u w:val="single"/>
          <w:lang w:val="en-GB"/>
        </w:rPr>
        <w:t>Commission</w:t>
      </w:r>
      <w:r w:rsidRPr="009925EE">
        <w:rPr>
          <w:rFonts w:ascii="Franklin Gothic Book" w:hAnsi="Franklin Gothic Book" w:cs="Times New Roman"/>
          <w:sz w:val="22"/>
          <w:szCs w:val="22"/>
          <w:lang w:val="en-GB"/>
        </w:rPr>
        <w:t xml:space="preserve">: </w:t>
      </w:r>
    </w:p>
    <w:p w14:paraId="11A6D8F9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b/>
          <w:bCs/>
          <w:sz w:val="22"/>
          <w:szCs w:val="22"/>
          <w:u w:val="single"/>
          <w:lang w:val="en-GB"/>
        </w:rPr>
      </w:pPr>
    </w:p>
    <w:p w14:paraId="48DE7E1B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  <w:lang w:val="en-GB"/>
        </w:rPr>
      </w:pPr>
      <w:r w:rsidRPr="009925EE">
        <w:rPr>
          <w:rFonts w:ascii="Franklin Gothic Book" w:hAnsi="Franklin Gothic Book" w:cs="Times New Roman"/>
          <w:sz w:val="22"/>
          <w:szCs w:val="22"/>
          <w:lang w:val="en-GB"/>
        </w:rPr>
        <w:t xml:space="preserve">The agency will agree to a commission for newspaper and other media and digital media. </w:t>
      </w:r>
      <w:r w:rsidRPr="009925EE">
        <w:rPr>
          <w:rFonts w:ascii="Franklin Gothic Book" w:hAnsi="Franklin Gothic Book" w:cs="Times New Roman"/>
          <w:sz w:val="22"/>
          <w:szCs w:val="22"/>
        </w:rPr>
        <w:t>The agency charging the lowest commission will get preference.  </w:t>
      </w:r>
    </w:p>
    <w:p w14:paraId="1A98ADC0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  <w:lang w:val="en-GB"/>
        </w:rPr>
      </w:pPr>
    </w:p>
    <w:p w14:paraId="6E4E4D5A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b/>
          <w:bCs/>
          <w:sz w:val="22"/>
          <w:szCs w:val="22"/>
        </w:rPr>
      </w:pPr>
      <w:r w:rsidRPr="009925EE">
        <w:rPr>
          <w:rFonts w:ascii="Franklin Gothic Book" w:hAnsi="Franklin Gothic Book" w:cs="Times New Roman"/>
          <w:b/>
          <w:bCs/>
          <w:sz w:val="22"/>
          <w:szCs w:val="22"/>
        </w:rPr>
        <w:t>Contract Duration:</w:t>
      </w:r>
    </w:p>
    <w:p w14:paraId="4CFA7526" w14:textId="77777777" w:rsidR="005045F3" w:rsidRPr="009925E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</w:p>
    <w:p w14:paraId="3F6D0B98" w14:textId="77777777" w:rsidR="005045F3" w:rsidRPr="0056547E" w:rsidRDefault="005045F3" w:rsidP="005045F3">
      <w:pPr>
        <w:spacing w:after="0" w:line="240" w:lineRule="atLeast"/>
        <w:rPr>
          <w:rFonts w:ascii="Franklin Gothic Book" w:hAnsi="Franklin Gothic Book" w:cs="Times New Roman"/>
          <w:sz w:val="22"/>
          <w:szCs w:val="22"/>
        </w:rPr>
      </w:pPr>
      <w:r w:rsidRPr="009925EE">
        <w:rPr>
          <w:rFonts w:ascii="Franklin Gothic Book" w:hAnsi="Franklin Gothic Book" w:cs="Times New Roman"/>
          <w:sz w:val="22"/>
          <w:szCs w:val="22"/>
        </w:rPr>
        <w:t>This deed of agreement will be for year and will be renewed as per mutual agreement on rates, discounts and commission.</w:t>
      </w:r>
    </w:p>
    <w:sectPr w:rsidR="005045F3" w:rsidRPr="00565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5198C" w14:textId="77777777" w:rsidR="002F02F0" w:rsidRDefault="002F02F0" w:rsidP="00BB7BF2">
      <w:pPr>
        <w:spacing w:after="0" w:line="240" w:lineRule="auto"/>
      </w:pPr>
      <w:r>
        <w:separator/>
      </w:r>
    </w:p>
  </w:endnote>
  <w:endnote w:type="continuationSeparator" w:id="0">
    <w:p w14:paraId="3FBE0453" w14:textId="77777777" w:rsidR="002F02F0" w:rsidRDefault="002F02F0" w:rsidP="00BB7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4A01C" w14:textId="77777777" w:rsidR="002F02F0" w:rsidRDefault="002F02F0" w:rsidP="00BB7BF2">
      <w:pPr>
        <w:spacing w:after="0" w:line="240" w:lineRule="auto"/>
      </w:pPr>
      <w:r>
        <w:separator/>
      </w:r>
    </w:p>
  </w:footnote>
  <w:footnote w:type="continuationSeparator" w:id="0">
    <w:p w14:paraId="54E2665C" w14:textId="77777777" w:rsidR="002F02F0" w:rsidRDefault="002F02F0" w:rsidP="00BB7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01721"/>
    <w:multiLevelType w:val="hybridMultilevel"/>
    <w:tmpl w:val="9EB40C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208D7"/>
    <w:multiLevelType w:val="hybridMultilevel"/>
    <w:tmpl w:val="9984E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1BDB"/>
    <w:multiLevelType w:val="hybridMultilevel"/>
    <w:tmpl w:val="90580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84BBA"/>
    <w:multiLevelType w:val="hybridMultilevel"/>
    <w:tmpl w:val="DD6E8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33D8D"/>
    <w:multiLevelType w:val="hybridMultilevel"/>
    <w:tmpl w:val="1598B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C2604"/>
    <w:multiLevelType w:val="hybridMultilevel"/>
    <w:tmpl w:val="6756B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939641">
    <w:abstractNumId w:val="0"/>
  </w:num>
  <w:num w:numId="2" w16cid:durableId="1039935902">
    <w:abstractNumId w:val="2"/>
  </w:num>
  <w:num w:numId="3" w16cid:durableId="1906335124">
    <w:abstractNumId w:val="5"/>
  </w:num>
  <w:num w:numId="4" w16cid:durableId="1038968342">
    <w:abstractNumId w:val="1"/>
  </w:num>
  <w:num w:numId="5" w16cid:durableId="1504541021">
    <w:abstractNumId w:val="3"/>
  </w:num>
  <w:num w:numId="6" w16cid:durableId="2081561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C85"/>
    <w:rsid w:val="000261CA"/>
    <w:rsid w:val="00055F73"/>
    <w:rsid w:val="000632A5"/>
    <w:rsid w:val="000843B1"/>
    <w:rsid w:val="000A7B20"/>
    <w:rsid w:val="000E228B"/>
    <w:rsid w:val="0010104E"/>
    <w:rsid w:val="0014654C"/>
    <w:rsid w:val="001F0263"/>
    <w:rsid w:val="002F02F0"/>
    <w:rsid w:val="003610F1"/>
    <w:rsid w:val="00464D33"/>
    <w:rsid w:val="00485C85"/>
    <w:rsid w:val="005045F3"/>
    <w:rsid w:val="005215F8"/>
    <w:rsid w:val="006F02BE"/>
    <w:rsid w:val="007064A3"/>
    <w:rsid w:val="0077699F"/>
    <w:rsid w:val="0090649C"/>
    <w:rsid w:val="00947AA0"/>
    <w:rsid w:val="009D497C"/>
    <w:rsid w:val="00AE5C3A"/>
    <w:rsid w:val="00BB7BF2"/>
    <w:rsid w:val="00C06496"/>
    <w:rsid w:val="00C526A9"/>
    <w:rsid w:val="00D65133"/>
    <w:rsid w:val="00E6119F"/>
    <w:rsid w:val="00EE21F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C089B"/>
  <w15:chartTrackingRefBased/>
  <w15:docId w15:val="{7E0C88B7-49F2-47C1-8606-32473B5B3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C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C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C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C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C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C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C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C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C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C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C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C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C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C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C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C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C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C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C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C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C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C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C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C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C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C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C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C8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B7B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BF2"/>
  </w:style>
  <w:style w:type="paragraph" w:styleId="Footer">
    <w:name w:val="footer"/>
    <w:basedOn w:val="Normal"/>
    <w:link w:val="FooterChar"/>
    <w:uiPriority w:val="99"/>
    <w:unhideWhenUsed/>
    <w:rsid w:val="00BB7B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Brac Bank Limited</Company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Minhaj Uddin Ahmed</dc:creator>
  <cp:keywords/>
  <dc:description/>
  <cp:lastModifiedBy>Abu Jafar Al Mamun</cp:lastModifiedBy>
  <cp:revision>10</cp:revision>
  <dcterms:created xsi:type="dcterms:W3CDTF">2025-07-17T09:07:00Z</dcterms:created>
  <dcterms:modified xsi:type="dcterms:W3CDTF">2025-10-09T07:26:00Z</dcterms:modified>
</cp:coreProperties>
</file>